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CF95B" w14:textId="60170013" w:rsidR="234008B8" w:rsidRDefault="420D06D2" w:rsidP="3D3E8349">
      <w:pPr>
        <w:jc w:val="center"/>
        <w:rPr>
          <w:rFonts w:ascii="Times New Roman" w:eastAsia="Times New Roman" w:hAnsi="Times New Roman" w:cs="Times New Roman"/>
          <w:i/>
          <w:iCs/>
          <w:color w:val="000000" w:themeColor="text1"/>
        </w:rPr>
      </w:pPr>
      <w:r w:rsidRPr="3D3E8349">
        <w:rPr>
          <w:rFonts w:ascii="Times New Roman" w:eastAsia="Times New Roman" w:hAnsi="Times New Roman" w:cs="Times New Roman"/>
          <w:b/>
          <w:bCs/>
          <w:color w:val="000000" w:themeColor="text1"/>
          <w:sz w:val="28"/>
          <w:szCs w:val="28"/>
        </w:rPr>
        <w:t>Fact</w:t>
      </w:r>
      <w:r w:rsidR="005F38F3">
        <w:rPr>
          <w:rFonts w:ascii="Times New Roman" w:eastAsia="Times New Roman" w:hAnsi="Times New Roman" w:cs="Times New Roman"/>
          <w:b/>
          <w:bCs/>
          <w:color w:val="000000" w:themeColor="text1"/>
          <w:sz w:val="28"/>
          <w:szCs w:val="28"/>
        </w:rPr>
        <w:t>-</w:t>
      </w:r>
      <w:r w:rsidRPr="3D3E8349">
        <w:rPr>
          <w:rFonts w:ascii="Times New Roman" w:eastAsia="Times New Roman" w:hAnsi="Times New Roman" w:cs="Times New Roman"/>
          <w:b/>
          <w:bCs/>
          <w:color w:val="000000" w:themeColor="text1"/>
          <w:sz w:val="28"/>
          <w:szCs w:val="28"/>
        </w:rPr>
        <w:t xml:space="preserve">checking </w:t>
      </w:r>
      <w:r w:rsidR="347A9982" w:rsidRPr="3D3E8349">
        <w:rPr>
          <w:rFonts w:ascii="Times New Roman" w:eastAsia="Times New Roman" w:hAnsi="Times New Roman" w:cs="Times New Roman"/>
          <w:b/>
          <w:bCs/>
          <w:color w:val="000000" w:themeColor="text1"/>
          <w:sz w:val="28"/>
          <w:szCs w:val="28"/>
        </w:rPr>
        <w:t>Works</w:t>
      </w:r>
      <w:r w:rsidRPr="3D3E8349">
        <w:rPr>
          <w:rFonts w:ascii="Times New Roman" w:eastAsia="Times New Roman" w:hAnsi="Times New Roman" w:cs="Times New Roman"/>
          <w:b/>
          <w:bCs/>
          <w:color w:val="000000" w:themeColor="text1"/>
          <w:sz w:val="28"/>
          <w:szCs w:val="28"/>
        </w:rPr>
        <w:t>heet</w:t>
      </w:r>
      <w:r w:rsidR="234008B8">
        <w:br/>
      </w:r>
      <w:r w:rsidRPr="3D3E8349">
        <w:rPr>
          <w:rFonts w:ascii="Times New Roman" w:eastAsia="Times New Roman" w:hAnsi="Times New Roman" w:cs="Times New Roman"/>
          <w:i/>
          <w:iCs/>
          <w:color w:val="000000" w:themeColor="text1"/>
        </w:rPr>
        <w:t>Northeastern University Law Review Tutoring Initiative | March 202</w:t>
      </w:r>
      <w:r w:rsidR="00814A10">
        <w:rPr>
          <w:rFonts w:ascii="Times New Roman" w:eastAsia="Times New Roman" w:hAnsi="Times New Roman" w:cs="Times New Roman"/>
          <w:i/>
          <w:iCs/>
          <w:color w:val="000000" w:themeColor="text1"/>
        </w:rPr>
        <w:t>4</w:t>
      </w:r>
    </w:p>
    <w:p w14:paraId="754B5D34" w14:textId="23855248" w:rsidR="234008B8" w:rsidRDefault="420D06D2" w:rsidP="2554E06A">
      <w:pPr>
        <w:rPr>
          <w:rFonts w:ascii="Times New Roman" w:eastAsia="Times New Roman" w:hAnsi="Times New Roman" w:cs="Times New Roman"/>
          <w:color w:val="000000" w:themeColor="text1"/>
        </w:rPr>
      </w:pPr>
      <w:r w:rsidRPr="64532630">
        <w:rPr>
          <w:rFonts w:ascii="Times New Roman" w:eastAsia="Times New Roman" w:hAnsi="Times New Roman" w:cs="Times New Roman"/>
          <w:i/>
          <w:iCs/>
          <w:color w:val="000000" w:themeColor="text1"/>
          <w:u w:val="single"/>
        </w:rPr>
        <w:t>Instructions</w:t>
      </w:r>
      <w:r w:rsidRPr="64532630">
        <w:rPr>
          <w:rFonts w:ascii="Times New Roman" w:eastAsia="Times New Roman" w:hAnsi="Times New Roman" w:cs="Times New Roman"/>
          <w:color w:val="000000" w:themeColor="text1"/>
        </w:rPr>
        <w:t xml:space="preserve">. Please complete the factchecking examples below with </w:t>
      </w:r>
      <w:r w:rsidR="00E351D1" w:rsidRPr="64532630">
        <w:rPr>
          <w:rFonts w:ascii="Times New Roman" w:eastAsia="Times New Roman" w:hAnsi="Times New Roman" w:cs="Times New Roman"/>
          <w:color w:val="000000" w:themeColor="text1"/>
        </w:rPr>
        <w:t>the people sitting next to you</w:t>
      </w:r>
      <w:r w:rsidR="63D930A8" w:rsidRPr="64532630">
        <w:rPr>
          <w:rFonts w:ascii="Times New Roman" w:eastAsia="Times New Roman" w:hAnsi="Times New Roman" w:cs="Times New Roman"/>
          <w:color w:val="000000" w:themeColor="text1"/>
        </w:rPr>
        <w:t xml:space="preserve"> </w:t>
      </w:r>
      <w:r w:rsidR="00E351D1" w:rsidRPr="64532630">
        <w:rPr>
          <w:rFonts w:ascii="Times New Roman" w:eastAsia="Times New Roman" w:hAnsi="Times New Roman" w:cs="Times New Roman"/>
          <w:color w:val="000000" w:themeColor="text1"/>
        </w:rPr>
        <w:t>or in your</w:t>
      </w:r>
      <w:r w:rsidRPr="64532630">
        <w:rPr>
          <w:rFonts w:ascii="Times New Roman" w:eastAsia="Times New Roman" w:hAnsi="Times New Roman" w:cs="Times New Roman"/>
          <w:color w:val="000000" w:themeColor="text1"/>
        </w:rPr>
        <w:t xml:space="preserve"> breakout group. If you are watching the recording for this session at home, please pause the recording to complete this worksheet. We will then review the problems as a group and an answer sheet will</w:t>
      </w:r>
      <w:r w:rsidR="70CA59D1" w:rsidRPr="64532630">
        <w:rPr>
          <w:rFonts w:ascii="Times New Roman" w:eastAsia="Times New Roman" w:hAnsi="Times New Roman" w:cs="Times New Roman"/>
          <w:color w:val="000000" w:themeColor="text1"/>
        </w:rPr>
        <w:t xml:space="preserve"> be provided</w:t>
      </w:r>
      <w:r w:rsidRPr="64532630">
        <w:rPr>
          <w:rFonts w:ascii="Times New Roman" w:eastAsia="Times New Roman" w:hAnsi="Times New Roman" w:cs="Times New Roman"/>
          <w:color w:val="000000" w:themeColor="text1"/>
        </w:rPr>
        <w:t xml:space="preserve"> after the workshop.</w:t>
      </w:r>
    </w:p>
    <w:p w14:paraId="2D417419" w14:textId="0F8D440E" w:rsidR="234008B8" w:rsidRDefault="420D06D2" w:rsidP="3A220DB6">
      <w:pPr>
        <w:rPr>
          <w:rFonts w:ascii="Times New Roman" w:eastAsia="Times New Roman" w:hAnsi="Times New Roman" w:cs="Times New Roman"/>
          <w:color w:val="000000" w:themeColor="text1"/>
        </w:rPr>
      </w:pPr>
      <w:r w:rsidRPr="3A220DB6">
        <w:rPr>
          <w:rFonts w:ascii="Times New Roman" w:eastAsia="Times New Roman" w:hAnsi="Times New Roman" w:cs="Times New Roman"/>
          <w:color w:val="000000" w:themeColor="text1"/>
        </w:rPr>
        <w:t>For each problem:</w:t>
      </w:r>
    </w:p>
    <w:p w14:paraId="491DBEA3" w14:textId="51348B54" w:rsidR="234008B8" w:rsidRDefault="420D06D2" w:rsidP="302084A1">
      <w:pPr>
        <w:pStyle w:val="ListParagraph"/>
        <w:numPr>
          <w:ilvl w:val="0"/>
          <w:numId w:val="2"/>
        </w:numPr>
        <w:rPr>
          <w:rFonts w:eastAsiaTheme="minorEastAsia"/>
          <w:color w:val="000000" w:themeColor="text1"/>
        </w:rPr>
      </w:pPr>
      <w:r w:rsidRPr="302084A1">
        <w:rPr>
          <w:rFonts w:ascii="Times New Roman" w:eastAsia="Times New Roman" w:hAnsi="Times New Roman" w:cs="Times New Roman"/>
          <w:color w:val="000000" w:themeColor="text1"/>
        </w:rPr>
        <w:t>Highlight or underline the assertion(s)</w:t>
      </w:r>
      <w:r w:rsidR="4B031083" w:rsidRPr="302084A1">
        <w:rPr>
          <w:rFonts w:ascii="Times New Roman" w:eastAsia="Times New Roman" w:hAnsi="Times New Roman" w:cs="Times New Roman"/>
          <w:color w:val="000000" w:themeColor="text1"/>
        </w:rPr>
        <w:t xml:space="preserve"> in the text and the footnote</w:t>
      </w:r>
      <w:r w:rsidRPr="302084A1">
        <w:rPr>
          <w:rFonts w:ascii="Times New Roman" w:eastAsia="Times New Roman" w:hAnsi="Times New Roman" w:cs="Times New Roman"/>
          <w:color w:val="000000" w:themeColor="text1"/>
        </w:rPr>
        <w:t>.</w:t>
      </w:r>
    </w:p>
    <w:p w14:paraId="7554E42D" w14:textId="60E615E7" w:rsidR="234008B8" w:rsidRDefault="420D06D2" w:rsidP="302084A1">
      <w:pPr>
        <w:pStyle w:val="ListParagraph"/>
        <w:numPr>
          <w:ilvl w:val="0"/>
          <w:numId w:val="2"/>
        </w:numPr>
        <w:rPr>
          <w:rFonts w:eastAsiaTheme="minorEastAsia"/>
          <w:color w:val="000000" w:themeColor="text1"/>
        </w:rPr>
      </w:pPr>
      <w:r w:rsidRPr="302084A1">
        <w:rPr>
          <w:rFonts w:ascii="Times New Roman" w:eastAsia="Times New Roman" w:hAnsi="Times New Roman" w:cs="Times New Roman"/>
          <w:color w:val="000000" w:themeColor="text1"/>
        </w:rPr>
        <w:t xml:space="preserve">Find the source (indicated in corresponding footnote) and locate the information that may or may not support the assertion (the </w:t>
      </w:r>
      <w:proofErr w:type="spellStart"/>
      <w:r w:rsidRPr="302084A1">
        <w:rPr>
          <w:rFonts w:ascii="Times New Roman" w:eastAsia="Times New Roman" w:hAnsi="Times New Roman" w:cs="Times New Roman"/>
          <w:color w:val="000000" w:themeColor="text1"/>
        </w:rPr>
        <w:t>pincite</w:t>
      </w:r>
      <w:proofErr w:type="spellEnd"/>
      <w:r w:rsidRPr="302084A1">
        <w:rPr>
          <w:rFonts w:ascii="Times New Roman" w:eastAsia="Times New Roman" w:hAnsi="Times New Roman" w:cs="Times New Roman"/>
          <w:color w:val="000000" w:themeColor="text1"/>
        </w:rPr>
        <w:t xml:space="preserve"> is a good start but might not be accurate).</w:t>
      </w:r>
    </w:p>
    <w:p w14:paraId="7FEE06AE" w14:textId="48B46AAF" w:rsidR="33F774A2" w:rsidRDefault="33F774A2" w:rsidP="6D3EA066">
      <w:pPr>
        <w:pStyle w:val="ListParagraph"/>
        <w:numPr>
          <w:ilvl w:val="1"/>
          <w:numId w:val="2"/>
        </w:numPr>
        <w:rPr>
          <w:rFonts w:eastAsiaTheme="minorEastAsia"/>
          <w:color w:val="000000" w:themeColor="text1"/>
        </w:rPr>
      </w:pPr>
      <w:r w:rsidRPr="6D3EA066">
        <w:rPr>
          <w:rFonts w:ascii="Times New Roman" w:eastAsia="Times New Roman" w:hAnsi="Times New Roman" w:cs="Times New Roman"/>
          <w:color w:val="000000" w:themeColor="text1"/>
        </w:rPr>
        <w:t xml:space="preserve">Note: Only factcheck the sentences </w:t>
      </w:r>
      <w:r w:rsidR="1CA70EAF" w:rsidRPr="6D3EA066">
        <w:rPr>
          <w:rFonts w:ascii="Times New Roman" w:eastAsia="Times New Roman" w:hAnsi="Times New Roman" w:cs="Times New Roman"/>
          <w:color w:val="000000" w:themeColor="text1"/>
        </w:rPr>
        <w:t xml:space="preserve">in the text </w:t>
      </w:r>
      <w:r w:rsidRPr="6D3EA066">
        <w:rPr>
          <w:rFonts w:ascii="Times New Roman" w:eastAsia="Times New Roman" w:hAnsi="Times New Roman" w:cs="Times New Roman"/>
          <w:color w:val="000000" w:themeColor="text1"/>
        </w:rPr>
        <w:t>that have footnote citations. A footnote citation at the end of a sentence indicates that the source cited only provides support for the assertions contained in that sentence</w:t>
      </w:r>
      <w:r w:rsidR="1349E73B" w:rsidRPr="6D3EA066">
        <w:rPr>
          <w:rFonts w:ascii="Times New Roman" w:eastAsia="Times New Roman" w:hAnsi="Times New Roman" w:cs="Times New Roman"/>
          <w:color w:val="000000" w:themeColor="text1"/>
        </w:rPr>
        <w:t xml:space="preserve"> (and not the sentences before it)</w:t>
      </w:r>
      <w:r w:rsidRPr="6D3EA066">
        <w:rPr>
          <w:rFonts w:ascii="Times New Roman" w:eastAsia="Times New Roman" w:hAnsi="Times New Roman" w:cs="Times New Roman"/>
          <w:color w:val="000000" w:themeColor="text1"/>
        </w:rPr>
        <w:t>. If a sentence does not have a footnote citation, you cannot factcheck the assertions in that sentence as the author has not provided any sources.</w:t>
      </w:r>
    </w:p>
    <w:p w14:paraId="250715A5" w14:textId="0260DE9B" w:rsidR="234008B8" w:rsidRDefault="420D06D2" w:rsidP="302084A1">
      <w:pPr>
        <w:pStyle w:val="ListParagraph"/>
        <w:numPr>
          <w:ilvl w:val="0"/>
          <w:numId w:val="2"/>
        </w:numPr>
        <w:rPr>
          <w:rFonts w:eastAsiaTheme="minorEastAsia"/>
          <w:color w:val="000000" w:themeColor="text1"/>
        </w:rPr>
      </w:pPr>
      <w:r w:rsidRPr="302084A1">
        <w:rPr>
          <w:rFonts w:ascii="Times New Roman" w:eastAsia="Times New Roman" w:hAnsi="Times New Roman" w:cs="Times New Roman"/>
          <w:color w:val="000000" w:themeColor="text1"/>
        </w:rPr>
        <w:t>Explain whether the assertion is:</w:t>
      </w:r>
    </w:p>
    <w:p w14:paraId="5ADAFA0C" w14:textId="4C232326" w:rsidR="234008B8" w:rsidRDefault="420D06D2" w:rsidP="302084A1">
      <w:pPr>
        <w:pStyle w:val="ListParagraph"/>
        <w:numPr>
          <w:ilvl w:val="1"/>
          <w:numId w:val="2"/>
        </w:numPr>
        <w:rPr>
          <w:rFonts w:eastAsiaTheme="minorEastAsia"/>
          <w:color w:val="000000" w:themeColor="text1"/>
        </w:rPr>
      </w:pPr>
      <w:r w:rsidRPr="302084A1">
        <w:rPr>
          <w:rFonts w:ascii="Times New Roman" w:eastAsia="Times New Roman" w:hAnsi="Times New Roman" w:cs="Times New Roman"/>
          <w:color w:val="000000" w:themeColor="text1"/>
        </w:rPr>
        <w:t xml:space="preserve">completely (both factually and as quoted) accurate compared with the cited </w:t>
      </w:r>
      <w:proofErr w:type="gramStart"/>
      <w:r w:rsidRPr="302084A1">
        <w:rPr>
          <w:rFonts w:ascii="Times New Roman" w:eastAsia="Times New Roman" w:hAnsi="Times New Roman" w:cs="Times New Roman"/>
          <w:color w:val="000000" w:themeColor="text1"/>
        </w:rPr>
        <w:t>source;</w:t>
      </w:r>
      <w:proofErr w:type="gramEnd"/>
      <w:r w:rsidRPr="302084A1">
        <w:rPr>
          <w:rFonts w:ascii="Times New Roman" w:eastAsia="Times New Roman" w:hAnsi="Times New Roman" w:cs="Times New Roman"/>
          <w:color w:val="000000" w:themeColor="text1"/>
        </w:rPr>
        <w:t xml:space="preserve"> OR</w:t>
      </w:r>
    </w:p>
    <w:p w14:paraId="4C79660F" w14:textId="1F7F6548" w:rsidR="234008B8" w:rsidRDefault="420D06D2" w:rsidP="302084A1">
      <w:pPr>
        <w:pStyle w:val="ListParagraph"/>
        <w:numPr>
          <w:ilvl w:val="1"/>
          <w:numId w:val="2"/>
        </w:numPr>
        <w:rPr>
          <w:rFonts w:eastAsiaTheme="minorEastAsia"/>
          <w:color w:val="000000" w:themeColor="text1"/>
        </w:rPr>
      </w:pPr>
      <w:r w:rsidRPr="302084A1">
        <w:rPr>
          <w:rFonts w:ascii="Times New Roman" w:eastAsia="Times New Roman" w:hAnsi="Times New Roman" w:cs="Times New Roman"/>
          <w:color w:val="000000" w:themeColor="text1"/>
        </w:rPr>
        <w:t xml:space="preserve">completely (both factually and as quoted) accurate compared with the cited source, but has an inaccurate </w:t>
      </w:r>
      <w:proofErr w:type="spellStart"/>
      <w:proofErr w:type="gramStart"/>
      <w:r w:rsidRPr="302084A1">
        <w:rPr>
          <w:rFonts w:ascii="Times New Roman" w:eastAsia="Times New Roman" w:hAnsi="Times New Roman" w:cs="Times New Roman"/>
          <w:color w:val="000000" w:themeColor="text1"/>
        </w:rPr>
        <w:t>pincite</w:t>
      </w:r>
      <w:proofErr w:type="spellEnd"/>
      <w:r w:rsidRPr="302084A1">
        <w:rPr>
          <w:rFonts w:ascii="Times New Roman" w:eastAsia="Times New Roman" w:hAnsi="Times New Roman" w:cs="Times New Roman"/>
          <w:color w:val="000000" w:themeColor="text1"/>
        </w:rPr>
        <w:t>;</w:t>
      </w:r>
      <w:proofErr w:type="gramEnd"/>
      <w:r w:rsidRPr="302084A1">
        <w:rPr>
          <w:rFonts w:ascii="Times New Roman" w:eastAsia="Times New Roman" w:hAnsi="Times New Roman" w:cs="Times New Roman"/>
          <w:color w:val="000000" w:themeColor="text1"/>
        </w:rPr>
        <w:t xml:space="preserve"> OR</w:t>
      </w:r>
    </w:p>
    <w:p w14:paraId="13CCFB54" w14:textId="707715B3" w:rsidR="234008B8" w:rsidRDefault="6A40C806" w:rsidP="302084A1">
      <w:pPr>
        <w:pStyle w:val="ListParagraph"/>
        <w:numPr>
          <w:ilvl w:val="1"/>
          <w:numId w:val="2"/>
        </w:numPr>
        <w:rPr>
          <w:rFonts w:eastAsiaTheme="minorEastAsia"/>
          <w:color w:val="000000" w:themeColor="text1"/>
        </w:rPr>
      </w:pPr>
      <w:r w:rsidRPr="302084A1">
        <w:rPr>
          <w:rFonts w:ascii="Times New Roman" w:eastAsia="Times New Roman" w:hAnsi="Times New Roman" w:cs="Times New Roman"/>
          <w:color w:val="000000" w:themeColor="text1"/>
        </w:rPr>
        <w:t>i</w:t>
      </w:r>
      <w:r w:rsidR="420D06D2" w:rsidRPr="302084A1">
        <w:rPr>
          <w:rFonts w:ascii="Times New Roman" w:eastAsia="Times New Roman" w:hAnsi="Times New Roman" w:cs="Times New Roman"/>
          <w:color w:val="000000" w:themeColor="text1"/>
        </w:rPr>
        <w:t>naccurate</w:t>
      </w:r>
      <w:r w:rsidR="3D6B5030" w:rsidRPr="302084A1">
        <w:rPr>
          <w:rFonts w:ascii="Times New Roman" w:eastAsia="Times New Roman" w:hAnsi="Times New Roman" w:cs="Times New Roman"/>
          <w:color w:val="000000" w:themeColor="text1"/>
        </w:rPr>
        <w:t xml:space="preserve"> (either factually or as quoted</w:t>
      </w:r>
      <w:r w:rsidR="3C80BB09" w:rsidRPr="302084A1">
        <w:rPr>
          <w:rFonts w:ascii="Times New Roman" w:eastAsia="Times New Roman" w:hAnsi="Times New Roman" w:cs="Times New Roman"/>
          <w:color w:val="000000" w:themeColor="text1"/>
        </w:rPr>
        <w:t>, or both</w:t>
      </w:r>
      <w:r w:rsidR="3D6B5030" w:rsidRPr="302084A1">
        <w:rPr>
          <w:rFonts w:ascii="Times New Roman" w:eastAsia="Times New Roman" w:hAnsi="Times New Roman" w:cs="Times New Roman"/>
          <w:color w:val="000000" w:themeColor="text1"/>
        </w:rPr>
        <w:t>)</w:t>
      </w:r>
    </w:p>
    <w:p w14:paraId="720CC81C" w14:textId="5AC63E1D" w:rsidR="234008B8" w:rsidRDefault="420D06D2" w:rsidP="302084A1">
      <w:pPr>
        <w:pStyle w:val="ListParagraph"/>
        <w:numPr>
          <w:ilvl w:val="0"/>
          <w:numId w:val="2"/>
        </w:numPr>
        <w:rPr>
          <w:rFonts w:eastAsiaTheme="minorEastAsia"/>
          <w:color w:val="000000" w:themeColor="text1"/>
        </w:rPr>
      </w:pPr>
      <w:r w:rsidRPr="302084A1">
        <w:rPr>
          <w:rFonts w:ascii="Times New Roman" w:eastAsia="Times New Roman" w:hAnsi="Times New Roman" w:cs="Times New Roman"/>
          <w:color w:val="000000" w:themeColor="text1"/>
        </w:rPr>
        <w:t xml:space="preserve">Explain why the assertion is accurate or inaccurate; if it is inaccurate, suggest how the footnote may be changed </w:t>
      </w:r>
      <w:proofErr w:type="gramStart"/>
      <w:r w:rsidRPr="302084A1">
        <w:rPr>
          <w:rFonts w:ascii="Times New Roman" w:eastAsia="Times New Roman" w:hAnsi="Times New Roman" w:cs="Times New Roman"/>
          <w:color w:val="000000" w:themeColor="text1"/>
        </w:rPr>
        <w:t>in order to</w:t>
      </w:r>
      <w:proofErr w:type="gramEnd"/>
      <w:r w:rsidRPr="302084A1">
        <w:rPr>
          <w:rFonts w:ascii="Times New Roman" w:eastAsia="Times New Roman" w:hAnsi="Times New Roman" w:cs="Times New Roman"/>
          <w:color w:val="000000" w:themeColor="text1"/>
        </w:rPr>
        <w:t xml:space="preserve"> render the assertion completely accurate.</w:t>
      </w:r>
    </w:p>
    <w:p w14:paraId="1C972A13" w14:textId="5C2E57DF" w:rsidR="234008B8" w:rsidRDefault="420D06D2" w:rsidP="302084A1">
      <w:pPr>
        <w:pStyle w:val="ListParagraph"/>
        <w:numPr>
          <w:ilvl w:val="0"/>
          <w:numId w:val="2"/>
        </w:numPr>
        <w:rPr>
          <w:rFonts w:eastAsiaTheme="minorEastAsia"/>
          <w:color w:val="000000" w:themeColor="text1"/>
        </w:rPr>
      </w:pPr>
      <w:r w:rsidRPr="302084A1">
        <w:rPr>
          <w:rFonts w:ascii="Times New Roman" w:eastAsia="Times New Roman" w:hAnsi="Times New Roman" w:cs="Times New Roman"/>
          <w:color w:val="000000" w:themeColor="text1"/>
        </w:rPr>
        <w:t xml:space="preserve">If the assertion includes a quotation, determine whether the quotation in the assertion is </w:t>
      </w:r>
      <w:proofErr w:type="gramStart"/>
      <w:r w:rsidRPr="302084A1">
        <w:rPr>
          <w:rFonts w:ascii="Times New Roman" w:eastAsia="Times New Roman" w:hAnsi="Times New Roman" w:cs="Times New Roman"/>
          <w:color w:val="000000" w:themeColor="text1"/>
        </w:rPr>
        <w:t>exactly the same</w:t>
      </w:r>
      <w:proofErr w:type="gramEnd"/>
      <w:r w:rsidRPr="302084A1">
        <w:rPr>
          <w:rFonts w:ascii="Times New Roman" w:eastAsia="Times New Roman" w:hAnsi="Times New Roman" w:cs="Times New Roman"/>
          <w:color w:val="000000" w:themeColor="text1"/>
        </w:rPr>
        <w:t xml:space="preserve"> as the quoted material from the source; if it is not, make corrections. </w:t>
      </w:r>
    </w:p>
    <w:p w14:paraId="0F397D6E" w14:textId="393C0486" w:rsidR="234008B8" w:rsidRDefault="420D06D2" w:rsidP="302084A1">
      <w:pPr>
        <w:pStyle w:val="ListParagraph"/>
        <w:numPr>
          <w:ilvl w:val="0"/>
          <w:numId w:val="2"/>
        </w:numPr>
        <w:rPr>
          <w:rFonts w:eastAsiaTheme="minorEastAsia"/>
          <w:color w:val="000000" w:themeColor="text1"/>
        </w:rPr>
      </w:pPr>
      <w:r w:rsidRPr="302084A1">
        <w:rPr>
          <w:rFonts w:ascii="Times New Roman" w:eastAsia="Times New Roman" w:hAnsi="Times New Roman" w:cs="Times New Roman"/>
          <w:color w:val="000000" w:themeColor="text1"/>
        </w:rPr>
        <w:t>Make any formatting, spelling, and grammatical corrections as you see fit.</w:t>
      </w:r>
    </w:p>
    <w:p w14:paraId="782065FC" w14:textId="5AC59300" w:rsidR="234008B8" w:rsidRDefault="420D06D2" w:rsidP="302084A1">
      <w:pPr>
        <w:pStyle w:val="ListParagraph"/>
        <w:numPr>
          <w:ilvl w:val="0"/>
          <w:numId w:val="2"/>
        </w:numPr>
        <w:rPr>
          <w:rFonts w:eastAsiaTheme="minorEastAsia"/>
          <w:color w:val="000000" w:themeColor="text1"/>
        </w:rPr>
      </w:pPr>
      <w:r w:rsidRPr="302084A1">
        <w:rPr>
          <w:rFonts w:ascii="Times New Roman" w:eastAsia="Times New Roman" w:hAnsi="Times New Roman" w:cs="Times New Roman"/>
          <w:color w:val="000000" w:themeColor="text1"/>
        </w:rPr>
        <w:t>You can organize your answers in the table provided below or write directly on each problem.</w:t>
      </w:r>
    </w:p>
    <w:p w14:paraId="54B18F01" w14:textId="3347FE81" w:rsidR="234008B8" w:rsidRDefault="234008B8" w:rsidP="3A220DB6">
      <w:pPr>
        <w:rPr>
          <w:rFonts w:ascii="Times New Roman" w:eastAsia="Times New Roman" w:hAnsi="Times New Roman" w:cs="Times New Roman"/>
          <w:color w:val="000000" w:themeColor="text1"/>
        </w:rPr>
      </w:pPr>
    </w:p>
    <w:p w14:paraId="7190A2CF" w14:textId="7F6EF5B8" w:rsidR="234008B8" w:rsidRDefault="420D06D2" w:rsidP="3A220DB6">
      <w:pPr>
        <w:rPr>
          <w:rFonts w:ascii="Times New Roman" w:eastAsia="Times New Roman" w:hAnsi="Times New Roman" w:cs="Times New Roman"/>
          <w:color w:val="000000" w:themeColor="text1"/>
        </w:rPr>
      </w:pPr>
      <w:r w:rsidRPr="3A220DB6">
        <w:rPr>
          <w:rFonts w:ascii="Times New Roman" w:eastAsia="Times New Roman" w:hAnsi="Times New Roman" w:cs="Times New Roman"/>
          <w:b/>
          <w:bCs/>
          <w:color w:val="000000" w:themeColor="text1"/>
        </w:rPr>
        <w:t>Problem 1.</w:t>
      </w:r>
    </w:p>
    <w:p w14:paraId="74024D51" w14:textId="40EBDEB9" w:rsidR="234008B8" w:rsidRDefault="420D06D2" w:rsidP="057E964D">
      <w:pPr>
        <w:rPr>
          <w:rFonts w:ascii="Times New Roman" w:eastAsia="Times New Roman" w:hAnsi="Times New Roman" w:cs="Times New Roman"/>
          <w:color w:val="000000" w:themeColor="text1"/>
        </w:rPr>
      </w:pPr>
      <w:r w:rsidRPr="057E964D">
        <w:rPr>
          <w:rFonts w:ascii="Times New Roman" w:eastAsia="Times New Roman" w:hAnsi="Times New Roman" w:cs="Times New Roman"/>
          <w:color w:val="000000" w:themeColor="text1"/>
        </w:rPr>
        <w:t>In 1967, American drillers working for Texaco Petroleum discovered a vast amount of crude oil underneath the jungle floor of Ecuador.</w:t>
      </w:r>
      <w:r w:rsidR="234008B8" w:rsidRPr="057E964D">
        <w:rPr>
          <w:rStyle w:val="FootnoteReference"/>
          <w:rFonts w:ascii="Times New Roman" w:eastAsia="Times New Roman" w:hAnsi="Times New Roman" w:cs="Times New Roman"/>
          <w:color w:val="000000" w:themeColor="text1"/>
        </w:rPr>
        <w:footnoteReference w:id="1"/>
      </w:r>
    </w:p>
    <w:p w14:paraId="4E1C49EC" w14:textId="7E3B3493" w:rsidR="234008B8" w:rsidRDefault="420D06D2" w:rsidP="057E964D">
      <w:pPr>
        <w:rPr>
          <w:rFonts w:ascii="Times New Roman" w:eastAsia="Times New Roman" w:hAnsi="Times New Roman" w:cs="Times New Roman"/>
          <w:color w:val="000000" w:themeColor="text1"/>
        </w:rPr>
      </w:pPr>
      <w:r w:rsidRPr="057E964D">
        <w:rPr>
          <w:rFonts w:ascii="Times New Roman" w:eastAsia="Times New Roman" w:hAnsi="Times New Roman" w:cs="Times New Roman"/>
          <w:b/>
          <w:bCs/>
          <w:color w:val="000000" w:themeColor="text1"/>
        </w:rPr>
        <w:t>Problem 2.</w:t>
      </w:r>
    </w:p>
    <w:p w14:paraId="16AEF0EA" w14:textId="5E154F37" w:rsidR="234008B8" w:rsidRDefault="420D06D2" w:rsidP="057E964D">
      <w:pPr>
        <w:ind w:firstLine="720"/>
        <w:rPr>
          <w:rFonts w:ascii="Times New Roman" w:eastAsia="Times New Roman" w:hAnsi="Times New Roman" w:cs="Times New Roman"/>
          <w:color w:val="000000" w:themeColor="text1"/>
        </w:rPr>
      </w:pPr>
      <w:r w:rsidRPr="057E964D">
        <w:rPr>
          <w:rFonts w:ascii="Times New Roman" w:eastAsia="Times New Roman" w:hAnsi="Times New Roman" w:cs="Times New Roman"/>
          <w:color w:val="000000" w:themeColor="text1"/>
        </w:rPr>
        <w:t xml:space="preserve">Massachusetts case law has recognized that persons deemed incompetent to stand trial (“IST”) should not be restrained for longer than necessary, though it has not precisely defined what is “necessary.” Such vagueness has allowed countless persons to slip through the cracks, precipitating a need for legislation dictating specific timelines for dismissal of charges and discharge from commitment. This is particularly crucial </w:t>
      </w:r>
      <w:proofErr w:type="gramStart"/>
      <w:r w:rsidRPr="057E964D">
        <w:rPr>
          <w:rFonts w:ascii="Times New Roman" w:eastAsia="Times New Roman" w:hAnsi="Times New Roman" w:cs="Times New Roman"/>
          <w:color w:val="000000" w:themeColor="text1"/>
        </w:rPr>
        <w:t>in light of</w:t>
      </w:r>
      <w:proofErr w:type="gramEnd"/>
      <w:r w:rsidRPr="057E964D">
        <w:rPr>
          <w:rFonts w:ascii="Times New Roman" w:eastAsia="Times New Roman" w:hAnsi="Times New Roman" w:cs="Times New Roman"/>
          <w:color w:val="000000" w:themeColor="text1"/>
        </w:rPr>
        <w:t xml:space="preserve"> the risk that individuals will be committed beyond a period that is effective for restoration. </w:t>
      </w:r>
      <w:r w:rsidR="234008B8">
        <w:br/>
      </w:r>
      <w:r w:rsidR="234008B8">
        <w:tab/>
      </w:r>
      <w:r w:rsidR="234008B8">
        <w:tab/>
      </w:r>
      <w:r w:rsidRPr="057E964D">
        <w:rPr>
          <w:rFonts w:ascii="Times New Roman" w:eastAsia="Times New Roman" w:hAnsi="Times New Roman" w:cs="Times New Roman"/>
          <w:color w:val="000000" w:themeColor="text1"/>
        </w:rPr>
        <w:t xml:space="preserve">In </w:t>
      </w:r>
      <w:r w:rsidRPr="057E964D">
        <w:rPr>
          <w:rFonts w:ascii="Times New Roman" w:eastAsia="Times New Roman" w:hAnsi="Times New Roman" w:cs="Times New Roman"/>
          <w:i/>
          <w:iCs/>
          <w:color w:val="000000" w:themeColor="text1"/>
        </w:rPr>
        <w:t>Foss v. Commonwealth</w:t>
      </w:r>
      <w:r w:rsidRPr="057E964D">
        <w:rPr>
          <w:rFonts w:ascii="Times New Roman" w:eastAsia="Times New Roman" w:hAnsi="Times New Roman" w:cs="Times New Roman"/>
          <w:color w:val="000000" w:themeColor="text1"/>
        </w:rPr>
        <w:t xml:space="preserve">, the Massachusetts Supreme Judicial Court (“SJC”) recognized that one of the legislature’s goals in creating mental health laws like the § 16(f) provision was to prevent </w:t>
      </w:r>
      <w:r w:rsidRPr="057E964D">
        <w:rPr>
          <w:rFonts w:ascii="Times New Roman" w:eastAsia="Times New Roman" w:hAnsi="Times New Roman" w:cs="Times New Roman"/>
          <w:color w:val="000000" w:themeColor="text1"/>
        </w:rPr>
        <w:lastRenderedPageBreak/>
        <w:t xml:space="preserve">the </w:t>
      </w:r>
      <w:r w:rsidRPr="057E964D">
        <w:rPr>
          <w:rFonts w:ascii="Times New Roman" w:eastAsia="Times New Roman" w:hAnsi="Times New Roman" w:cs="Times New Roman"/>
        </w:rPr>
        <w:t xml:space="preserve">“extremely questionable practice” </w:t>
      </w:r>
      <w:r w:rsidRPr="057E964D">
        <w:rPr>
          <w:rFonts w:ascii="Times New Roman" w:eastAsia="Times New Roman" w:hAnsi="Times New Roman" w:cs="Times New Roman"/>
          <w:color w:val="000000" w:themeColor="text1"/>
        </w:rPr>
        <w:t>of committing individuals declared incompetent to stand trial indefinitely, with pending charges that could limit their access to treatment by more effective means.</w:t>
      </w:r>
      <w:r w:rsidR="234008B8" w:rsidRPr="057E964D">
        <w:rPr>
          <w:rStyle w:val="FootnoteReference"/>
          <w:rFonts w:ascii="Times New Roman" w:eastAsia="Times New Roman" w:hAnsi="Times New Roman" w:cs="Times New Roman"/>
          <w:color w:val="000000" w:themeColor="text1"/>
        </w:rPr>
        <w:footnoteReference w:id="2"/>
      </w:r>
    </w:p>
    <w:p w14:paraId="0474CDDF" w14:textId="6E1B338F" w:rsidR="234008B8" w:rsidRDefault="420D06D2" w:rsidP="057E964D">
      <w:pPr>
        <w:rPr>
          <w:rFonts w:ascii="Times New Roman" w:eastAsia="Times New Roman" w:hAnsi="Times New Roman" w:cs="Times New Roman"/>
          <w:color w:val="000000" w:themeColor="text1"/>
        </w:rPr>
      </w:pPr>
      <w:r w:rsidRPr="057E964D">
        <w:rPr>
          <w:rFonts w:ascii="Times New Roman" w:eastAsia="Times New Roman" w:hAnsi="Times New Roman" w:cs="Times New Roman"/>
          <w:b/>
          <w:bCs/>
          <w:color w:val="000000" w:themeColor="text1"/>
        </w:rPr>
        <w:t>Problem 3.</w:t>
      </w:r>
    </w:p>
    <w:p w14:paraId="292EFE48" w14:textId="52D3E1DF" w:rsidR="234008B8" w:rsidRDefault="420D06D2" w:rsidP="1169CBC5">
      <w:pPr>
        <w:rPr>
          <w:rFonts w:ascii="Times New Roman" w:eastAsia="Times New Roman" w:hAnsi="Times New Roman" w:cs="Times New Roman"/>
          <w:color w:val="000000" w:themeColor="text1"/>
        </w:rPr>
      </w:pPr>
      <w:r w:rsidRPr="1BCD748E">
        <w:rPr>
          <w:rFonts w:ascii="Times New Roman" w:eastAsia="Times New Roman" w:hAnsi="Times New Roman" w:cs="Times New Roman"/>
          <w:color w:val="000000" w:themeColor="text1"/>
        </w:rPr>
        <w:t xml:space="preserve">Contracts of adhesion are standard forms that, due to unequal bargaining power, </w:t>
      </w:r>
      <w:r w:rsidR="13DFFCC3" w:rsidRPr="1BCD748E">
        <w:rPr>
          <w:rFonts w:ascii="Times New Roman" w:eastAsia="Times New Roman" w:hAnsi="Times New Roman" w:cs="Times New Roman"/>
          <w:color w:val="000000" w:themeColor="text1"/>
        </w:rPr>
        <w:t xml:space="preserve">generally </w:t>
      </w:r>
      <w:r w:rsidRPr="1BCD748E">
        <w:rPr>
          <w:rFonts w:ascii="Times New Roman" w:eastAsia="Times New Roman" w:hAnsi="Times New Roman" w:cs="Times New Roman"/>
          <w:color w:val="000000" w:themeColor="text1"/>
        </w:rPr>
        <w:t xml:space="preserve">result in unfavorable terms for the weaker </w:t>
      </w:r>
      <w:r w:rsidR="2A658A47" w:rsidRPr="1BCD748E">
        <w:rPr>
          <w:rFonts w:ascii="Times New Roman" w:eastAsia="Times New Roman" w:hAnsi="Times New Roman" w:cs="Times New Roman"/>
          <w:color w:val="000000" w:themeColor="text1"/>
        </w:rPr>
        <w:t>party.</w:t>
      </w:r>
      <w:r w:rsidR="234008B8" w:rsidRPr="1BCD748E">
        <w:rPr>
          <w:rStyle w:val="FootnoteReference"/>
          <w:rFonts w:ascii="Times New Roman" w:eastAsia="Times New Roman" w:hAnsi="Times New Roman" w:cs="Times New Roman"/>
          <w:color w:val="000000" w:themeColor="text1"/>
        </w:rPr>
        <w:footnoteReference w:id="3"/>
      </w:r>
    </w:p>
    <w:p w14:paraId="69331E92" w14:textId="7BF9BB80" w:rsidR="234008B8" w:rsidRDefault="0746170A" w:rsidP="1169CBC5">
      <w:pPr>
        <w:rPr>
          <w:rFonts w:ascii="Times New Roman" w:eastAsia="Times New Roman" w:hAnsi="Times New Roman" w:cs="Times New Roman"/>
          <w:b/>
          <w:bCs/>
          <w:color w:val="000000" w:themeColor="text1"/>
        </w:rPr>
      </w:pPr>
      <w:r w:rsidRPr="1169CBC5">
        <w:rPr>
          <w:rFonts w:ascii="Times New Roman" w:eastAsia="Times New Roman" w:hAnsi="Times New Roman" w:cs="Times New Roman"/>
          <w:b/>
          <w:bCs/>
          <w:color w:val="000000" w:themeColor="text1"/>
        </w:rPr>
        <w:t xml:space="preserve">Problem 4. </w:t>
      </w:r>
    </w:p>
    <w:p w14:paraId="50280A54" w14:textId="3CEEF498" w:rsidR="234008B8" w:rsidRDefault="6C838FAA" w:rsidP="1BCD748E">
      <w:pPr>
        <w:rPr>
          <w:rFonts w:ascii="Times New Roman" w:eastAsia="Times New Roman" w:hAnsi="Times New Roman" w:cs="Times New Roman"/>
          <w:color w:val="000000" w:themeColor="text1"/>
          <w:vertAlign w:val="superscript"/>
        </w:rPr>
      </w:pPr>
      <w:r w:rsidRPr="1BCD748E">
        <w:rPr>
          <w:rFonts w:ascii="Times New Roman" w:eastAsia="Times New Roman" w:hAnsi="Times New Roman" w:cs="Times New Roman"/>
          <w:color w:val="000000" w:themeColor="text1"/>
        </w:rPr>
        <w:t>B</w:t>
      </w:r>
      <w:r w:rsidR="420D06D2" w:rsidRPr="1BCD748E">
        <w:rPr>
          <w:rFonts w:ascii="Times New Roman" w:eastAsia="Times New Roman" w:hAnsi="Times New Roman" w:cs="Times New Roman"/>
          <w:color w:val="000000" w:themeColor="text1"/>
        </w:rPr>
        <w:t>ecause insurance contracts are adhesion contracts, any reasonable doubt or ambiguity must be resolved in favor of the uninsured.</w:t>
      </w:r>
      <w:r w:rsidR="234008B8" w:rsidRPr="1BCD748E">
        <w:rPr>
          <w:rStyle w:val="FootnoteReference"/>
          <w:rFonts w:ascii="Times New Roman" w:eastAsia="Times New Roman" w:hAnsi="Times New Roman" w:cs="Times New Roman"/>
          <w:color w:val="000000" w:themeColor="text1"/>
        </w:rPr>
        <w:footnoteReference w:id="4"/>
      </w:r>
    </w:p>
    <w:p w14:paraId="3EFFA7D7" w14:textId="4C3E90CB" w:rsidR="234008B8" w:rsidRDefault="234008B8" w:rsidP="3A220DB6">
      <w:pPr>
        <w:ind w:firstLine="720"/>
        <w:rPr>
          <w:rFonts w:ascii="Times New Roman" w:eastAsia="Times New Roman" w:hAnsi="Times New Roman" w:cs="Times New Roman"/>
          <w:color w:val="000000" w:themeColor="text1"/>
        </w:rPr>
      </w:pPr>
    </w:p>
    <w:tbl>
      <w:tblPr>
        <w:tblStyle w:val="TableGrid"/>
        <w:tblW w:w="0" w:type="auto"/>
        <w:tblLayout w:type="fixed"/>
        <w:tblLook w:val="06A0" w:firstRow="1" w:lastRow="0" w:firstColumn="1" w:lastColumn="0" w:noHBand="1" w:noVBand="1"/>
      </w:tblPr>
      <w:tblGrid>
        <w:gridCol w:w="585"/>
        <w:gridCol w:w="3000"/>
        <w:gridCol w:w="1545"/>
        <w:gridCol w:w="4215"/>
      </w:tblGrid>
      <w:tr w:rsidR="3A220DB6" w14:paraId="2FFE8F0F" w14:textId="77777777" w:rsidTr="1169CBC5">
        <w:tc>
          <w:tcPr>
            <w:tcW w:w="585" w:type="dxa"/>
          </w:tcPr>
          <w:p w14:paraId="2A2AAA4C" w14:textId="7F53F173"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b/>
                <w:bCs/>
              </w:rPr>
              <w:t>FN</w:t>
            </w:r>
          </w:p>
        </w:tc>
        <w:tc>
          <w:tcPr>
            <w:tcW w:w="3000" w:type="dxa"/>
          </w:tcPr>
          <w:p w14:paraId="13536FB9" w14:textId="422CF118"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b/>
                <w:bCs/>
              </w:rPr>
              <w:t>Author’s Assertion</w:t>
            </w:r>
          </w:p>
        </w:tc>
        <w:tc>
          <w:tcPr>
            <w:tcW w:w="1545" w:type="dxa"/>
          </w:tcPr>
          <w:p w14:paraId="0E42C62A" w14:textId="2545B1B8"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b/>
                <w:bCs/>
              </w:rPr>
              <w:t xml:space="preserve">Accuracy </w:t>
            </w:r>
          </w:p>
          <w:p w14:paraId="09625125" w14:textId="43D9808D"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b/>
                <w:bCs/>
              </w:rPr>
              <w:t>(accurate; mostly accurate; inaccurate)</w:t>
            </w:r>
          </w:p>
        </w:tc>
        <w:tc>
          <w:tcPr>
            <w:tcW w:w="4215" w:type="dxa"/>
          </w:tcPr>
          <w:p w14:paraId="193A8FF4" w14:textId="44F2DF30"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b/>
                <w:bCs/>
              </w:rPr>
              <w:t>Explanation and Comments</w:t>
            </w:r>
          </w:p>
        </w:tc>
      </w:tr>
      <w:tr w:rsidR="3A220DB6" w14:paraId="4A3AC054" w14:textId="77777777" w:rsidTr="1169CBC5">
        <w:tc>
          <w:tcPr>
            <w:tcW w:w="585" w:type="dxa"/>
          </w:tcPr>
          <w:p w14:paraId="0756BB0B" w14:textId="454CC1C0"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Ex.</w:t>
            </w:r>
          </w:p>
        </w:tc>
        <w:tc>
          <w:tcPr>
            <w:tcW w:w="3000" w:type="dxa"/>
          </w:tcPr>
          <w:p w14:paraId="3B786341" w14:textId="468A9A81"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The sky is always blue and “always beautiful.”</w:t>
            </w:r>
          </w:p>
        </w:tc>
        <w:tc>
          <w:tcPr>
            <w:tcW w:w="1545" w:type="dxa"/>
          </w:tcPr>
          <w:p w14:paraId="3EFEE7D4" w14:textId="235FB56C"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Inaccurate</w:t>
            </w:r>
          </w:p>
        </w:tc>
        <w:tc>
          <w:tcPr>
            <w:tcW w:w="4215" w:type="dxa"/>
          </w:tcPr>
          <w:p w14:paraId="1EF6E45E" w14:textId="523BA3AE"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The statement is factually inaccurate because the source says, “the sky is sometimes gray or black, but it is never blue.”</w:t>
            </w:r>
          </w:p>
          <w:p w14:paraId="5D4732F5" w14:textId="7D489E68"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The quote is also inaccurate, as the source state that the sky is “always gorgeous.”</w:t>
            </w:r>
          </w:p>
        </w:tc>
      </w:tr>
      <w:tr w:rsidR="3A220DB6" w14:paraId="630AE60D" w14:textId="77777777" w:rsidTr="1169CBC5">
        <w:trPr>
          <w:trHeight w:val="3420"/>
        </w:trPr>
        <w:tc>
          <w:tcPr>
            <w:tcW w:w="585" w:type="dxa"/>
          </w:tcPr>
          <w:p w14:paraId="5B42B06E" w14:textId="7E9E6FC7" w:rsidR="3A220DB6" w:rsidRDefault="3A220DB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1</w:t>
            </w:r>
          </w:p>
        </w:tc>
        <w:tc>
          <w:tcPr>
            <w:tcW w:w="3000" w:type="dxa"/>
          </w:tcPr>
          <w:p w14:paraId="63D7F94F" w14:textId="4A818BE4" w:rsidR="3A220DB6" w:rsidRDefault="3A220DB6" w:rsidP="3A220DB6">
            <w:pPr>
              <w:spacing w:line="259" w:lineRule="auto"/>
              <w:rPr>
                <w:rFonts w:ascii="Times New Roman" w:eastAsia="Times New Roman" w:hAnsi="Times New Roman" w:cs="Times New Roman"/>
              </w:rPr>
            </w:pPr>
          </w:p>
        </w:tc>
        <w:tc>
          <w:tcPr>
            <w:tcW w:w="1545" w:type="dxa"/>
          </w:tcPr>
          <w:p w14:paraId="416779B9" w14:textId="1042AFF9" w:rsidR="3A220DB6" w:rsidRDefault="3A220DB6" w:rsidP="3A220DB6">
            <w:pPr>
              <w:spacing w:line="259" w:lineRule="auto"/>
              <w:rPr>
                <w:rFonts w:ascii="Times New Roman" w:eastAsia="Times New Roman" w:hAnsi="Times New Roman" w:cs="Times New Roman"/>
              </w:rPr>
            </w:pPr>
          </w:p>
        </w:tc>
        <w:tc>
          <w:tcPr>
            <w:tcW w:w="4215" w:type="dxa"/>
          </w:tcPr>
          <w:p w14:paraId="2FD1CF43" w14:textId="50B6F8C5" w:rsidR="3A220DB6" w:rsidRDefault="3A220DB6" w:rsidP="3A220DB6">
            <w:pPr>
              <w:spacing w:line="259" w:lineRule="auto"/>
              <w:rPr>
                <w:rFonts w:ascii="Times New Roman" w:eastAsia="Times New Roman" w:hAnsi="Times New Roman" w:cs="Times New Roman"/>
              </w:rPr>
            </w:pPr>
          </w:p>
        </w:tc>
      </w:tr>
      <w:tr w:rsidR="00E975C6" w14:paraId="39D6AF88" w14:textId="77777777" w:rsidTr="1169CBC5">
        <w:trPr>
          <w:trHeight w:val="3705"/>
        </w:trPr>
        <w:tc>
          <w:tcPr>
            <w:tcW w:w="585" w:type="dxa"/>
          </w:tcPr>
          <w:p w14:paraId="303EB9B0" w14:textId="2CDFD720" w:rsidR="00E975C6" w:rsidRDefault="00E975C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lastRenderedPageBreak/>
              <w:t>2</w:t>
            </w:r>
          </w:p>
        </w:tc>
        <w:tc>
          <w:tcPr>
            <w:tcW w:w="3000" w:type="dxa"/>
          </w:tcPr>
          <w:p w14:paraId="741ABA96" w14:textId="155CA2E4" w:rsidR="00E975C6" w:rsidRDefault="00E975C6" w:rsidP="3A220DB6">
            <w:pPr>
              <w:spacing w:line="259" w:lineRule="auto"/>
              <w:rPr>
                <w:rFonts w:ascii="Times New Roman" w:eastAsia="Times New Roman" w:hAnsi="Times New Roman" w:cs="Times New Roman"/>
              </w:rPr>
            </w:pPr>
          </w:p>
        </w:tc>
        <w:tc>
          <w:tcPr>
            <w:tcW w:w="1545" w:type="dxa"/>
          </w:tcPr>
          <w:p w14:paraId="5E2ED967" w14:textId="1BD4933B" w:rsidR="00E975C6" w:rsidRDefault="00E975C6" w:rsidP="3A220DB6">
            <w:pPr>
              <w:spacing w:line="259" w:lineRule="auto"/>
              <w:rPr>
                <w:rFonts w:ascii="Times New Roman" w:eastAsia="Times New Roman" w:hAnsi="Times New Roman" w:cs="Times New Roman"/>
              </w:rPr>
            </w:pPr>
          </w:p>
        </w:tc>
        <w:tc>
          <w:tcPr>
            <w:tcW w:w="4215" w:type="dxa"/>
          </w:tcPr>
          <w:p w14:paraId="6DDB0002" w14:textId="575BA241" w:rsidR="00E975C6" w:rsidRDefault="00E975C6" w:rsidP="3A220DB6">
            <w:pPr>
              <w:spacing w:line="259" w:lineRule="auto"/>
              <w:rPr>
                <w:rFonts w:ascii="Times New Roman" w:eastAsia="Times New Roman" w:hAnsi="Times New Roman" w:cs="Times New Roman"/>
              </w:rPr>
            </w:pPr>
          </w:p>
        </w:tc>
      </w:tr>
      <w:tr w:rsidR="00E975C6" w14:paraId="32AB3B2B" w14:textId="77777777" w:rsidTr="1169CBC5">
        <w:trPr>
          <w:trHeight w:val="3375"/>
        </w:trPr>
        <w:tc>
          <w:tcPr>
            <w:tcW w:w="585" w:type="dxa"/>
          </w:tcPr>
          <w:p w14:paraId="4A1D0AD4" w14:textId="25988A82" w:rsidR="00E975C6" w:rsidRDefault="00E975C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3a</w:t>
            </w:r>
          </w:p>
        </w:tc>
        <w:tc>
          <w:tcPr>
            <w:tcW w:w="3000" w:type="dxa"/>
          </w:tcPr>
          <w:p w14:paraId="23B7CF27" w14:textId="276E2D33" w:rsidR="00E975C6" w:rsidRDefault="00E975C6" w:rsidP="3A220DB6">
            <w:pPr>
              <w:spacing w:line="259" w:lineRule="auto"/>
              <w:rPr>
                <w:rFonts w:ascii="Times New Roman" w:eastAsia="Times New Roman" w:hAnsi="Times New Roman" w:cs="Times New Roman"/>
              </w:rPr>
            </w:pPr>
          </w:p>
        </w:tc>
        <w:tc>
          <w:tcPr>
            <w:tcW w:w="1545" w:type="dxa"/>
          </w:tcPr>
          <w:p w14:paraId="535F538A" w14:textId="7461C7D4" w:rsidR="00E975C6" w:rsidRDefault="00E975C6" w:rsidP="3A220DB6">
            <w:pPr>
              <w:spacing w:line="259" w:lineRule="auto"/>
              <w:rPr>
                <w:rFonts w:ascii="Times New Roman" w:eastAsia="Times New Roman" w:hAnsi="Times New Roman" w:cs="Times New Roman"/>
              </w:rPr>
            </w:pPr>
          </w:p>
        </w:tc>
        <w:tc>
          <w:tcPr>
            <w:tcW w:w="4215" w:type="dxa"/>
          </w:tcPr>
          <w:p w14:paraId="47EAD0D2" w14:textId="230A7F05" w:rsidR="00E975C6" w:rsidRDefault="00E975C6" w:rsidP="3A220DB6">
            <w:pPr>
              <w:spacing w:line="259" w:lineRule="auto"/>
              <w:rPr>
                <w:rFonts w:ascii="Times New Roman" w:eastAsia="Times New Roman" w:hAnsi="Times New Roman" w:cs="Times New Roman"/>
              </w:rPr>
            </w:pPr>
          </w:p>
        </w:tc>
      </w:tr>
      <w:tr w:rsidR="00E975C6" w14:paraId="35FB227D" w14:textId="77777777" w:rsidTr="1169CBC5">
        <w:trPr>
          <w:trHeight w:val="3600"/>
        </w:trPr>
        <w:tc>
          <w:tcPr>
            <w:tcW w:w="585" w:type="dxa"/>
          </w:tcPr>
          <w:p w14:paraId="720826E0" w14:textId="0F020D6E" w:rsidR="00E975C6" w:rsidRDefault="00E975C6" w:rsidP="3A220DB6">
            <w:pPr>
              <w:spacing w:line="259" w:lineRule="auto"/>
              <w:rPr>
                <w:rFonts w:ascii="Times New Roman" w:eastAsia="Times New Roman" w:hAnsi="Times New Roman" w:cs="Times New Roman"/>
              </w:rPr>
            </w:pPr>
            <w:r w:rsidRPr="3A220DB6">
              <w:rPr>
                <w:rFonts w:ascii="Times New Roman" w:eastAsia="Times New Roman" w:hAnsi="Times New Roman" w:cs="Times New Roman"/>
              </w:rPr>
              <w:t>3b</w:t>
            </w:r>
          </w:p>
        </w:tc>
        <w:tc>
          <w:tcPr>
            <w:tcW w:w="3000" w:type="dxa"/>
          </w:tcPr>
          <w:p w14:paraId="1D6F27C9" w14:textId="756F1B54" w:rsidR="00E975C6" w:rsidRDefault="00E975C6" w:rsidP="3A220DB6">
            <w:pPr>
              <w:spacing w:line="259" w:lineRule="auto"/>
              <w:rPr>
                <w:rFonts w:ascii="Times New Roman" w:eastAsia="Times New Roman" w:hAnsi="Times New Roman" w:cs="Times New Roman"/>
              </w:rPr>
            </w:pPr>
          </w:p>
        </w:tc>
        <w:tc>
          <w:tcPr>
            <w:tcW w:w="1545" w:type="dxa"/>
          </w:tcPr>
          <w:p w14:paraId="50AB1B4F" w14:textId="5143EB59" w:rsidR="00E975C6" w:rsidRDefault="00E975C6" w:rsidP="3A220DB6">
            <w:pPr>
              <w:spacing w:line="259" w:lineRule="auto"/>
              <w:rPr>
                <w:rFonts w:ascii="Times New Roman" w:eastAsia="Times New Roman" w:hAnsi="Times New Roman" w:cs="Times New Roman"/>
              </w:rPr>
            </w:pPr>
          </w:p>
        </w:tc>
        <w:tc>
          <w:tcPr>
            <w:tcW w:w="4215" w:type="dxa"/>
          </w:tcPr>
          <w:p w14:paraId="40FA5B14" w14:textId="79400678" w:rsidR="00E975C6" w:rsidRDefault="00E975C6" w:rsidP="3A220DB6">
            <w:pPr>
              <w:spacing w:line="259" w:lineRule="auto"/>
              <w:rPr>
                <w:rFonts w:ascii="Times New Roman" w:eastAsia="Times New Roman" w:hAnsi="Times New Roman" w:cs="Times New Roman"/>
              </w:rPr>
            </w:pPr>
          </w:p>
        </w:tc>
      </w:tr>
      <w:tr w:rsidR="00E975C6" w14:paraId="54E0E77A" w14:textId="77777777" w:rsidTr="1169CBC5">
        <w:trPr>
          <w:trHeight w:val="3480"/>
        </w:trPr>
        <w:tc>
          <w:tcPr>
            <w:tcW w:w="585" w:type="dxa"/>
          </w:tcPr>
          <w:p w14:paraId="0A2DAD02" w14:textId="02308392" w:rsidR="00E975C6" w:rsidRDefault="1A003CC7" w:rsidP="59042AC8">
            <w:pPr>
              <w:spacing w:line="259" w:lineRule="auto"/>
              <w:rPr>
                <w:rFonts w:ascii="Times New Roman" w:eastAsia="Times New Roman" w:hAnsi="Times New Roman" w:cs="Times New Roman"/>
              </w:rPr>
            </w:pPr>
            <w:r w:rsidRPr="1169CBC5">
              <w:rPr>
                <w:rFonts w:ascii="Times New Roman" w:eastAsia="Times New Roman" w:hAnsi="Times New Roman" w:cs="Times New Roman"/>
              </w:rPr>
              <w:lastRenderedPageBreak/>
              <w:t>4</w:t>
            </w:r>
          </w:p>
        </w:tc>
        <w:tc>
          <w:tcPr>
            <w:tcW w:w="3000" w:type="dxa"/>
          </w:tcPr>
          <w:p w14:paraId="7E9A5A12" w14:textId="25A7DDAB" w:rsidR="00E975C6" w:rsidRDefault="00E975C6" w:rsidP="3A220DB6">
            <w:pPr>
              <w:spacing w:line="259" w:lineRule="auto"/>
              <w:rPr>
                <w:rFonts w:ascii="Times New Roman" w:eastAsia="Times New Roman" w:hAnsi="Times New Roman" w:cs="Times New Roman"/>
              </w:rPr>
            </w:pPr>
          </w:p>
        </w:tc>
        <w:tc>
          <w:tcPr>
            <w:tcW w:w="1545" w:type="dxa"/>
          </w:tcPr>
          <w:p w14:paraId="219CD2AE" w14:textId="16981DCC" w:rsidR="00E975C6" w:rsidRDefault="00E975C6" w:rsidP="3A220DB6">
            <w:pPr>
              <w:spacing w:line="259" w:lineRule="auto"/>
              <w:rPr>
                <w:rFonts w:ascii="Times New Roman" w:eastAsia="Times New Roman" w:hAnsi="Times New Roman" w:cs="Times New Roman"/>
              </w:rPr>
            </w:pPr>
          </w:p>
        </w:tc>
        <w:tc>
          <w:tcPr>
            <w:tcW w:w="4215" w:type="dxa"/>
          </w:tcPr>
          <w:p w14:paraId="253D215E" w14:textId="5606F0DC" w:rsidR="00E975C6" w:rsidRDefault="00E975C6" w:rsidP="3A220DB6">
            <w:pPr>
              <w:spacing w:line="259" w:lineRule="auto"/>
              <w:rPr>
                <w:rFonts w:ascii="Times New Roman" w:eastAsia="Times New Roman" w:hAnsi="Times New Roman" w:cs="Times New Roman"/>
              </w:rPr>
            </w:pPr>
          </w:p>
        </w:tc>
      </w:tr>
    </w:tbl>
    <w:p w14:paraId="1C542C56" w14:textId="1E70838C" w:rsidR="234008B8" w:rsidRDefault="234008B8" w:rsidP="1DC45465">
      <w:pPr>
        <w:rPr>
          <w:rFonts w:ascii="Calibri" w:eastAsia="Calibri" w:hAnsi="Calibri" w:cs="Calibri"/>
        </w:rPr>
      </w:pPr>
    </w:p>
    <w:sectPr w:rsidR="234008B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0C1633" w14:textId="77777777" w:rsidR="003E6452" w:rsidRDefault="003E6452">
      <w:pPr>
        <w:spacing w:after="0" w:line="240" w:lineRule="auto"/>
      </w:pPr>
      <w:r>
        <w:separator/>
      </w:r>
    </w:p>
  </w:endnote>
  <w:endnote w:type="continuationSeparator" w:id="0">
    <w:p w14:paraId="06543657" w14:textId="77777777" w:rsidR="003E6452" w:rsidRDefault="003E64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2A8B56" w14:paraId="65298B00" w14:textId="77777777" w:rsidTr="432A8B56">
      <w:tc>
        <w:tcPr>
          <w:tcW w:w="3120" w:type="dxa"/>
        </w:tcPr>
        <w:p w14:paraId="03B26945" w14:textId="7954163F" w:rsidR="432A8B56" w:rsidRDefault="432A8B56" w:rsidP="432A8B56">
          <w:pPr>
            <w:pStyle w:val="Header"/>
            <w:ind w:left="-115"/>
          </w:pPr>
        </w:p>
      </w:tc>
      <w:tc>
        <w:tcPr>
          <w:tcW w:w="3120" w:type="dxa"/>
        </w:tcPr>
        <w:p w14:paraId="5E7F39A7" w14:textId="17DBE97C" w:rsidR="432A8B56" w:rsidRDefault="432A8B56" w:rsidP="432A8B56">
          <w:pPr>
            <w:pStyle w:val="Header"/>
            <w:jc w:val="center"/>
          </w:pPr>
        </w:p>
      </w:tc>
      <w:tc>
        <w:tcPr>
          <w:tcW w:w="3120" w:type="dxa"/>
        </w:tcPr>
        <w:p w14:paraId="45CE3B6D" w14:textId="4FBCB6DE" w:rsidR="432A8B56" w:rsidRDefault="432A8B56" w:rsidP="432A8B56">
          <w:pPr>
            <w:pStyle w:val="Header"/>
            <w:ind w:right="-115"/>
            <w:jc w:val="right"/>
          </w:pPr>
        </w:p>
      </w:tc>
    </w:tr>
  </w:tbl>
  <w:p w14:paraId="31882F95" w14:textId="71098DEA" w:rsidR="432A8B56" w:rsidRDefault="432A8B56" w:rsidP="432A8B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B77D1" w14:textId="77777777" w:rsidR="003E6452" w:rsidRDefault="003E6452">
      <w:pPr>
        <w:spacing w:after="0" w:line="240" w:lineRule="auto"/>
      </w:pPr>
      <w:r>
        <w:separator/>
      </w:r>
    </w:p>
  </w:footnote>
  <w:footnote w:type="continuationSeparator" w:id="0">
    <w:p w14:paraId="50A81AAA" w14:textId="77777777" w:rsidR="003E6452" w:rsidRDefault="003E6452">
      <w:pPr>
        <w:spacing w:after="0" w:line="240" w:lineRule="auto"/>
      </w:pPr>
      <w:r>
        <w:continuationSeparator/>
      </w:r>
    </w:p>
  </w:footnote>
  <w:footnote w:id="1">
    <w:p w14:paraId="3A9A1480" w14:textId="3D4DB4E8" w:rsidR="24A91EC2" w:rsidRDefault="24A91EC2" w:rsidP="37147566">
      <w:pPr>
        <w:pStyle w:val="FootnoteText"/>
        <w:rPr>
          <w:rFonts w:ascii="Times New Roman" w:eastAsia="Times New Roman" w:hAnsi="Times New Roman" w:cs="Times New Roman"/>
        </w:rPr>
      </w:pPr>
      <w:r w:rsidRPr="37147566">
        <w:rPr>
          <w:rStyle w:val="FootnoteReference"/>
          <w:rFonts w:ascii="Times New Roman" w:eastAsia="Times New Roman" w:hAnsi="Times New Roman" w:cs="Times New Roman"/>
        </w:rPr>
        <w:footnoteRef/>
      </w:r>
      <w:r w:rsidR="37147566">
        <w:t xml:space="preserve"> </w:t>
      </w:r>
      <w:r w:rsidR="37147566" w:rsidRPr="37147566">
        <w:rPr>
          <w:rFonts w:ascii="Times New Roman" w:eastAsia="Times New Roman" w:hAnsi="Times New Roman" w:cs="Times New Roman"/>
        </w:rPr>
        <w:t xml:space="preserve">Nellie V. Binder, </w:t>
      </w:r>
      <w:r w:rsidR="37147566" w:rsidRPr="37147566">
        <w:rPr>
          <w:rFonts w:ascii="Times New Roman" w:eastAsia="Times New Roman" w:hAnsi="Times New Roman" w:cs="Times New Roman"/>
          <w:i/>
          <w:iCs/>
        </w:rPr>
        <w:t>Making Foreign Judgment Law Great Again: The Aftermath of</w:t>
      </w:r>
      <w:r w:rsidR="37147566" w:rsidRPr="37147566">
        <w:rPr>
          <w:rFonts w:ascii="Times New Roman" w:eastAsia="Times New Roman" w:hAnsi="Times New Roman" w:cs="Times New Roman"/>
        </w:rPr>
        <w:t xml:space="preserve"> Chevron v. </w:t>
      </w:r>
      <w:proofErr w:type="spellStart"/>
      <w:r w:rsidR="37147566" w:rsidRPr="37147566">
        <w:rPr>
          <w:rFonts w:ascii="Times New Roman" w:eastAsia="Times New Roman" w:hAnsi="Times New Roman" w:cs="Times New Roman"/>
        </w:rPr>
        <w:t>Donziger</w:t>
      </w:r>
      <w:proofErr w:type="spellEnd"/>
      <w:r w:rsidR="37147566" w:rsidRPr="37147566">
        <w:rPr>
          <w:rFonts w:ascii="Times New Roman" w:eastAsia="Times New Roman" w:hAnsi="Times New Roman" w:cs="Times New Roman"/>
        </w:rPr>
        <w:t>, 51 Suffolk U. L. Rev. 33, 42 (2018)</w:t>
      </w:r>
      <w:r w:rsidR="00E351D1">
        <w:rPr>
          <w:rFonts w:ascii="Times New Roman" w:eastAsia="Times New Roman" w:hAnsi="Times New Roman" w:cs="Times New Roman"/>
        </w:rPr>
        <w:t>.</w:t>
      </w:r>
    </w:p>
  </w:footnote>
  <w:footnote w:id="2">
    <w:p w14:paraId="5EA2D5A5" w14:textId="63CE89D2" w:rsidR="37147566" w:rsidRDefault="37147566" w:rsidP="37147566">
      <w:pPr>
        <w:pStyle w:val="FootnoteText"/>
      </w:pPr>
      <w:r w:rsidRPr="37147566">
        <w:rPr>
          <w:rStyle w:val="FootnoteReference"/>
          <w:rFonts w:ascii="Times New Roman" w:eastAsia="Times New Roman" w:hAnsi="Times New Roman" w:cs="Times New Roman"/>
        </w:rPr>
        <w:footnoteRef/>
      </w:r>
      <w:r w:rsidRPr="37147566">
        <w:rPr>
          <w:rFonts w:ascii="Times New Roman" w:eastAsia="Times New Roman" w:hAnsi="Times New Roman" w:cs="Times New Roman"/>
        </w:rPr>
        <w:t xml:space="preserve"> </w:t>
      </w:r>
      <w:r w:rsidRPr="37147566">
        <w:rPr>
          <w:color w:val="000000" w:themeColor="text1"/>
          <w:sz w:val="19"/>
          <w:szCs w:val="19"/>
        </w:rPr>
        <w:t>Foss v. Commonwealth, 773 N.E.2d 958, 963 (Mass. 2002).</w:t>
      </w:r>
    </w:p>
  </w:footnote>
  <w:footnote w:id="3">
    <w:p w14:paraId="252CDBC1" w14:textId="5923320A" w:rsidR="58D157DE" w:rsidRDefault="58D157DE" w:rsidP="58D157DE">
      <w:pPr>
        <w:pStyle w:val="FootnoteText"/>
      </w:pPr>
      <w:r w:rsidRPr="58D157DE">
        <w:rPr>
          <w:rStyle w:val="FootnoteReference"/>
        </w:rPr>
        <w:footnoteRef/>
      </w:r>
      <w:r>
        <w:t xml:space="preserve"> </w:t>
      </w:r>
      <w:r w:rsidRPr="58D157DE">
        <w:rPr>
          <w:rFonts w:ascii="Times New Roman" w:eastAsia="Times New Roman" w:hAnsi="Times New Roman" w:cs="Times New Roman"/>
          <w:i/>
          <w:iCs/>
        </w:rPr>
        <w:t>Contract</w:t>
      </w:r>
      <w:r w:rsidRPr="58D157DE">
        <w:rPr>
          <w:rFonts w:ascii="Times New Roman" w:eastAsia="Times New Roman" w:hAnsi="Times New Roman" w:cs="Times New Roman"/>
        </w:rPr>
        <w:t>, Black’s Law Dictionary (11th ed. 2019) (defining an adhesion contract as a “</w:t>
      </w:r>
      <w:r w:rsidRPr="58D157DE">
        <w:rPr>
          <w:rFonts w:ascii="Times New Roman" w:eastAsia="Times New Roman" w:hAnsi="Times New Roman" w:cs="Times New Roman"/>
          <w:color w:val="3D3D3D"/>
        </w:rPr>
        <w:t>standard-form contract prepared by one party, to be signed by another party in a weaker position, usu. a consumer, who adheres to the contract with little choice about the terms”).</w:t>
      </w:r>
    </w:p>
  </w:footnote>
  <w:footnote w:id="4">
    <w:p w14:paraId="6333B672" w14:textId="674C8129" w:rsidR="1DC45465" w:rsidRDefault="1DC45465" w:rsidP="1DC45465">
      <w:pPr>
        <w:pStyle w:val="FootnoteText"/>
      </w:pPr>
      <w:r w:rsidRPr="1DC45465">
        <w:rPr>
          <w:rStyle w:val="FootnoteReference"/>
          <w:rFonts w:ascii="Times New Roman" w:eastAsia="Times New Roman" w:hAnsi="Times New Roman" w:cs="Times New Roman"/>
        </w:rPr>
        <w:footnoteRef/>
      </w:r>
      <w:r w:rsidRPr="1DC45465">
        <w:rPr>
          <w:rFonts w:ascii="Times New Roman" w:eastAsia="Times New Roman" w:hAnsi="Times New Roman" w:cs="Times New Roman"/>
        </w:rPr>
        <w:t xml:space="preserve"> </w:t>
      </w:r>
      <w:proofErr w:type="spellStart"/>
      <w:r w:rsidRPr="1DC45465">
        <w:rPr>
          <w:rFonts w:ascii="Times New Roman" w:eastAsia="Times New Roman" w:hAnsi="Times New Roman" w:cs="Times New Roman"/>
        </w:rPr>
        <w:t>Sturla</w:t>
      </w:r>
      <w:proofErr w:type="spellEnd"/>
      <w:r w:rsidRPr="1DC45465">
        <w:rPr>
          <w:rFonts w:ascii="Times New Roman" w:eastAsia="Times New Roman" w:hAnsi="Times New Roman" w:cs="Times New Roman"/>
        </w:rPr>
        <w:t>, Inc. V. Fireman’s Fund Ins. Co., 684 P.2d 960, 964 (1984).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432A8B56" w14:paraId="1AF6BD4C" w14:textId="77777777" w:rsidTr="432A8B56">
      <w:tc>
        <w:tcPr>
          <w:tcW w:w="3120" w:type="dxa"/>
        </w:tcPr>
        <w:p w14:paraId="6A0BE142" w14:textId="519AC243" w:rsidR="432A8B56" w:rsidRDefault="432A8B56" w:rsidP="432A8B56">
          <w:pPr>
            <w:pStyle w:val="Header"/>
            <w:ind w:left="-115"/>
          </w:pPr>
        </w:p>
      </w:tc>
      <w:tc>
        <w:tcPr>
          <w:tcW w:w="3120" w:type="dxa"/>
        </w:tcPr>
        <w:p w14:paraId="2AAB2615" w14:textId="0A0459A3" w:rsidR="432A8B56" w:rsidRDefault="432A8B56" w:rsidP="432A8B56">
          <w:pPr>
            <w:pStyle w:val="Header"/>
            <w:jc w:val="center"/>
          </w:pPr>
        </w:p>
      </w:tc>
      <w:tc>
        <w:tcPr>
          <w:tcW w:w="3120" w:type="dxa"/>
        </w:tcPr>
        <w:p w14:paraId="069BF263" w14:textId="2512A73D" w:rsidR="432A8B56" w:rsidRDefault="432A8B56" w:rsidP="432A8B56">
          <w:pPr>
            <w:pStyle w:val="Header"/>
            <w:ind w:right="-115"/>
            <w:jc w:val="right"/>
          </w:pPr>
        </w:p>
      </w:tc>
    </w:tr>
  </w:tbl>
  <w:p w14:paraId="38955626" w14:textId="5A844DDA" w:rsidR="432A8B56" w:rsidRDefault="432A8B56" w:rsidP="432A8B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8DD4A1"/>
    <w:multiLevelType w:val="hybridMultilevel"/>
    <w:tmpl w:val="364EAE56"/>
    <w:lvl w:ilvl="0" w:tplc="AF503E4E">
      <w:start w:val="1"/>
      <w:numFmt w:val="decimal"/>
      <w:lvlText w:val="%1."/>
      <w:lvlJc w:val="left"/>
      <w:pPr>
        <w:ind w:left="720" w:hanging="360"/>
      </w:pPr>
    </w:lvl>
    <w:lvl w:ilvl="1" w:tplc="95623D3A">
      <w:start w:val="1"/>
      <w:numFmt w:val="lowerLetter"/>
      <w:lvlText w:val="%2."/>
      <w:lvlJc w:val="left"/>
      <w:pPr>
        <w:ind w:left="1440" w:hanging="360"/>
      </w:pPr>
    </w:lvl>
    <w:lvl w:ilvl="2" w:tplc="58A878BC">
      <w:start w:val="1"/>
      <w:numFmt w:val="lowerRoman"/>
      <w:lvlText w:val="%3."/>
      <w:lvlJc w:val="right"/>
      <w:pPr>
        <w:ind w:left="2160" w:hanging="180"/>
      </w:pPr>
    </w:lvl>
    <w:lvl w:ilvl="3" w:tplc="66BE1D5A">
      <w:start w:val="1"/>
      <w:numFmt w:val="decimal"/>
      <w:lvlText w:val="%4."/>
      <w:lvlJc w:val="left"/>
      <w:pPr>
        <w:ind w:left="2880" w:hanging="360"/>
      </w:pPr>
    </w:lvl>
    <w:lvl w:ilvl="4" w:tplc="56461C54">
      <w:start w:val="1"/>
      <w:numFmt w:val="lowerLetter"/>
      <w:lvlText w:val="%5."/>
      <w:lvlJc w:val="left"/>
      <w:pPr>
        <w:ind w:left="3600" w:hanging="360"/>
      </w:pPr>
    </w:lvl>
    <w:lvl w:ilvl="5" w:tplc="457AEFCE">
      <w:start w:val="1"/>
      <w:numFmt w:val="lowerRoman"/>
      <w:lvlText w:val="%6."/>
      <w:lvlJc w:val="right"/>
      <w:pPr>
        <w:ind w:left="4320" w:hanging="180"/>
      </w:pPr>
    </w:lvl>
    <w:lvl w:ilvl="6" w:tplc="62E21724">
      <w:start w:val="1"/>
      <w:numFmt w:val="decimal"/>
      <w:lvlText w:val="%7."/>
      <w:lvlJc w:val="left"/>
      <w:pPr>
        <w:ind w:left="5040" w:hanging="360"/>
      </w:pPr>
    </w:lvl>
    <w:lvl w:ilvl="7" w:tplc="1DA0FEC0">
      <w:start w:val="1"/>
      <w:numFmt w:val="lowerLetter"/>
      <w:lvlText w:val="%8."/>
      <w:lvlJc w:val="left"/>
      <w:pPr>
        <w:ind w:left="5760" w:hanging="360"/>
      </w:pPr>
    </w:lvl>
    <w:lvl w:ilvl="8" w:tplc="D19263D6">
      <w:start w:val="1"/>
      <w:numFmt w:val="lowerRoman"/>
      <w:lvlText w:val="%9."/>
      <w:lvlJc w:val="right"/>
      <w:pPr>
        <w:ind w:left="6480" w:hanging="180"/>
      </w:pPr>
    </w:lvl>
  </w:abstractNum>
  <w:abstractNum w:abstractNumId="1" w15:restartNumberingAfterBreak="0">
    <w:nsid w:val="4B88680B"/>
    <w:multiLevelType w:val="hybridMultilevel"/>
    <w:tmpl w:val="78E422E6"/>
    <w:lvl w:ilvl="0" w:tplc="3AAAF524">
      <w:start w:val="1"/>
      <w:numFmt w:val="decimal"/>
      <w:lvlText w:val="%1."/>
      <w:lvlJc w:val="left"/>
      <w:pPr>
        <w:ind w:left="720" w:hanging="360"/>
      </w:pPr>
    </w:lvl>
    <w:lvl w:ilvl="1" w:tplc="00BCA8C8">
      <w:start w:val="1"/>
      <w:numFmt w:val="lowerLetter"/>
      <w:lvlText w:val="%2."/>
      <w:lvlJc w:val="left"/>
      <w:pPr>
        <w:ind w:left="1440" w:hanging="360"/>
      </w:pPr>
    </w:lvl>
    <w:lvl w:ilvl="2" w:tplc="9FC27F56">
      <w:start w:val="1"/>
      <w:numFmt w:val="lowerRoman"/>
      <w:lvlText w:val="%3."/>
      <w:lvlJc w:val="right"/>
      <w:pPr>
        <w:ind w:left="2160" w:hanging="180"/>
      </w:pPr>
    </w:lvl>
    <w:lvl w:ilvl="3" w:tplc="8DE2A9B6">
      <w:start w:val="1"/>
      <w:numFmt w:val="decimal"/>
      <w:lvlText w:val="%4."/>
      <w:lvlJc w:val="left"/>
      <w:pPr>
        <w:ind w:left="2880" w:hanging="360"/>
      </w:pPr>
    </w:lvl>
    <w:lvl w:ilvl="4" w:tplc="4FF8553C">
      <w:start w:val="1"/>
      <w:numFmt w:val="lowerLetter"/>
      <w:lvlText w:val="%5."/>
      <w:lvlJc w:val="left"/>
      <w:pPr>
        <w:ind w:left="3600" w:hanging="360"/>
      </w:pPr>
    </w:lvl>
    <w:lvl w:ilvl="5" w:tplc="78105D9E">
      <w:start w:val="1"/>
      <w:numFmt w:val="lowerRoman"/>
      <w:lvlText w:val="%6."/>
      <w:lvlJc w:val="right"/>
      <w:pPr>
        <w:ind w:left="4320" w:hanging="180"/>
      </w:pPr>
    </w:lvl>
    <w:lvl w:ilvl="6" w:tplc="0BB6BD0A">
      <w:start w:val="1"/>
      <w:numFmt w:val="decimal"/>
      <w:lvlText w:val="%7."/>
      <w:lvlJc w:val="left"/>
      <w:pPr>
        <w:ind w:left="5040" w:hanging="360"/>
      </w:pPr>
    </w:lvl>
    <w:lvl w:ilvl="7" w:tplc="9C46BCF6">
      <w:start w:val="1"/>
      <w:numFmt w:val="lowerLetter"/>
      <w:lvlText w:val="%8."/>
      <w:lvlJc w:val="left"/>
      <w:pPr>
        <w:ind w:left="5760" w:hanging="360"/>
      </w:pPr>
    </w:lvl>
    <w:lvl w:ilvl="8" w:tplc="A9F4792A">
      <w:start w:val="1"/>
      <w:numFmt w:val="lowerRoman"/>
      <w:lvlText w:val="%9."/>
      <w:lvlJc w:val="right"/>
      <w:pPr>
        <w:ind w:left="6480" w:hanging="180"/>
      </w:pPr>
    </w:lvl>
  </w:abstractNum>
  <w:abstractNum w:abstractNumId="2" w15:restartNumberingAfterBreak="0">
    <w:nsid w:val="7FD505D1"/>
    <w:multiLevelType w:val="hybridMultilevel"/>
    <w:tmpl w:val="93629378"/>
    <w:lvl w:ilvl="0" w:tplc="0FC6847A">
      <w:start w:val="1"/>
      <w:numFmt w:val="decimal"/>
      <w:lvlText w:val="%1."/>
      <w:lvlJc w:val="left"/>
      <w:pPr>
        <w:ind w:left="720" w:hanging="360"/>
      </w:pPr>
    </w:lvl>
    <w:lvl w:ilvl="1" w:tplc="D6249E38">
      <w:start w:val="1"/>
      <w:numFmt w:val="lowerLetter"/>
      <w:lvlText w:val="%2."/>
      <w:lvlJc w:val="left"/>
      <w:pPr>
        <w:ind w:left="1440" w:hanging="360"/>
      </w:pPr>
    </w:lvl>
    <w:lvl w:ilvl="2" w:tplc="79B2FF44">
      <w:start w:val="1"/>
      <w:numFmt w:val="lowerRoman"/>
      <w:lvlText w:val="%3."/>
      <w:lvlJc w:val="right"/>
      <w:pPr>
        <w:ind w:left="2160" w:hanging="180"/>
      </w:pPr>
    </w:lvl>
    <w:lvl w:ilvl="3" w:tplc="5896D556">
      <w:start w:val="1"/>
      <w:numFmt w:val="decimal"/>
      <w:lvlText w:val="%4."/>
      <w:lvlJc w:val="left"/>
      <w:pPr>
        <w:ind w:left="2880" w:hanging="360"/>
      </w:pPr>
    </w:lvl>
    <w:lvl w:ilvl="4" w:tplc="D414C4E8">
      <w:start w:val="1"/>
      <w:numFmt w:val="lowerLetter"/>
      <w:lvlText w:val="%5."/>
      <w:lvlJc w:val="left"/>
      <w:pPr>
        <w:ind w:left="3600" w:hanging="360"/>
      </w:pPr>
    </w:lvl>
    <w:lvl w:ilvl="5" w:tplc="9362A032">
      <w:start w:val="1"/>
      <w:numFmt w:val="lowerRoman"/>
      <w:lvlText w:val="%6."/>
      <w:lvlJc w:val="right"/>
      <w:pPr>
        <w:ind w:left="4320" w:hanging="180"/>
      </w:pPr>
    </w:lvl>
    <w:lvl w:ilvl="6" w:tplc="42E6EDA0">
      <w:start w:val="1"/>
      <w:numFmt w:val="decimal"/>
      <w:lvlText w:val="%7."/>
      <w:lvlJc w:val="left"/>
      <w:pPr>
        <w:ind w:left="5040" w:hanging="360"/>
      </w:pPr>
    </w:lvl>
    <w:lvl w:ilvl="7" w:tplc="B0567EA8">
      <w:start w:val="1"/>
      <w:numFmt w:val="lowerLetter"/>
      <w:lvlText w:val="%8."/>
      <w:lvlJc w:val="left"/>
      <w:pPr>
        <w:ind w:left="5760" w:hanging="360"/>
      </w:pPr>
    </w:lvl>
    <w:lvl w:ilvl="8" w:tplc="82520B46">
      <w:start w:val="1"/>
      <w:numFmt w:val="lowerRoman"/>
      <w:lvlText w:val="%9."/>
      <w:lvlJc w:val="right"/>
      <w:pPr>
        <w:ind w:left="6480" w:hanging="180"/>
      </w:pPr>
    </w:lvl>
  </w:abstractNum>
  <w:num w:numId="1" w16cid:durableId="702439319">
    <w:abstractNumId w:val="0"/>
  </w:num>
  <w:num w:numId="2" w16cid:durableId="262811968">
    <w:abstractNumId w:val="2"/>
  </w:num>
  <w:num w:numId="3" w16cid:durableId="3303744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69E5D"/>
    <w:rsid w:val="00287F10"/>
    <w:rsid w:val="00333859"/>
    <w:rsid w:val="003E6452"/>
    <w:rsid w:val="004148B1"/>
    <w:rsid w:val="00500994"/>
    <w:rsid w:val="005F38F3"/>
    <w:rsid w:val="00814A10"/>
    <w:rsid w:val="009E7925"/>
    <w:rsid w:val="00BF6724"/>
    <w:rsid w:val="00E351D1"/>
    <w:rsid w:val="00E975C6"/>
    <w:rsid w:val="00FC16C1"/>
    <w:rsid w:val="027EBEC5"/>
    <w:rsid w:val="052D33D3"/>
    <w:rsid w:val="057E964D"/>
    <w:rsid w:val="05B65F87"/>
    <w:rsid w:val="0746170A"/>
    <w:rsid w:val="07AD52CE"/>
    <w:rsid w:val="0AA2F907"/>
    <w:rsid w:val="0B6E44DA"/>
    <w:rsid w:val="0CFEE127"/>
    <w:rsid w:val="0DFEA75C"/>
    <w:rsid w:val="1169CBC5"/>
    <w:rsid w:val="1349E73B"/>
    <w:rsid w:val="13DFFCC3"/>
    <w:rsid w:val="19852ABD"/>
    <w:rsid w:val="1A003CC7"/>
    <w:rsid w:val="1BCD748E"/>
    <w:rsid w:val="1CA70EAF"/>
    <w:rsid w:val="1D73D0A7"/>
    <w:rsid w:val="1D8209C1"/>
    <w:rsid w:val="1DC45465"/>
    <w:rsid w:val="1DE134FB"/>
    <w:rsid w:val="1DF802C9"/>
    <w:rsid w:val="1ECB5829"/>
    <w:rsid w:val="1EE48086"/>
    <w:rsid w:val="21207A8C"/>
    <w:rsid w:val="226A42D9"/>
    <w:rsid w:val="226E8792"/>
    <w:rsid w:val="234008B8"/>
    <w:rsid w:val="24A91EC2"/>
    <w:rsid w:val="2554E06A"/>
    <w:rsid w:val="27DDDE71"/>
    <w:rsid w:val="28167836"/>
    <w:rsid w:val="2A658A47"/>
    <w:rsid w:val="2BFD4FEC"/>
    <w:rsid w:val="2CCD47E7"/>
    <w:rsid w:val="2D45AB92"/>
    <w:rsid w:val="2E84B440"/>
    <w:rsid w:val="302084A1"/>
    <w:rsid w:val="33F774A2"/>
    <w:rsid w:val="347A9982"/>
    <w:rsid w:val="37147566"/>
    <w:rsid w:val="38224638"/>
    <w:rsid w:val="3A220DB6"/>
    <w:rsid w:val="3A2C1C20"/>
    <w:rsid w:val="3B72312D"/>
    <w:rsid w:val="3C80BB09"/>
    <w:rsid w:val="3D3E8349"/>
    <w:rsid w:val="3D63BCE2"/>
    <w:rsid w:val="3D6B5030"/>
    <w:rsid w:val="3E2F9728"/>
    <w:rsid w:val="3FDA27D9"/>
    <w:rsid w:val="409B5DA4"/>
    <w:rsid w:val="40CE26CD"/>
    <w:rsid w:val="420D06D2"/>
    <w:rsid w:val="42F8A03E"/>
    <w:rsid w:val="4303FC1B"/>
    <w:rsid w:val="432A8B56"/>
    <w:rsid w:val="43A37033"/>
    <w:rsid w:val="43D2FE66"/>
    <w:rsid w:val="43FD9E08"/>
    <w:rsid w:val="44C6E960"/>
    <w:rsid w:val="4649695D"/>
    <w:rsid w:val="491DA993"/>
    <w:rsid w:val="49ED56F0"/>
    <w:rsid w:val="4B031083"/>
    <w:rsid w:val="4EEB4DD9"/>
    <w:rsid w:val="4F9B48CD"/>
    <w:rsid w:val="5702610F"/>
    <w:rsid w:val="58D157DE"/>
    <w:rsid w:val="59042AC8"/>
    <w:rsid w:val="597E058C"/>
    <w:rsid w:val="5B19D5ED"/>
    <w:rsid w:val="5C6C7E56"/>
    <w:rsid w:val="5D14AFAB"/>
    <w:rsid w:val="5E6A9F0C"/>
    <w:rsid w:val="5FED4710"/>
    <w:rsid w:val="60AC4684"/>
    <w:rsid w:val="61B5F3C0"/>
    <w:rsid w:val="6217C867"/>
    <w:rsid w:val="632CD558"/>
    <w:rsid w:val="63D930A8"/>
    <w:rsid w:val="64532630"/>
    <w:rsid w:val="6770C0A7"/>
    <w:rsid w:val="699C16DC"/>
    <w:rsid w:val="6A40C806"/>
    <w:rsid w:val="6A76ED73"/>
    <w:rsid w:val="6C838FAA"/>
    <w:rsid w:val="6D3EA066"/>
    <w:rsid w:val="70CA59D1"/>
    <w:rsid w:val="74869E5D"/>
    <w:rsid w:val="79A0FFCF"/>
    <w:rsid w:val="7B3CD030"/>
    <w:rsid w:val="7DC4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69E5D"/>
  <w15:chartTrackingRefBased/>
  <w15:docId w15:val="{62BE962C-AFF3-4B36-B311-0AACDE67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EC20D39E19AF438255778717AB351F" ma:contentTypeVersion="2" ma:contentTypeDescription="Create a new document." ma:contentTypeScope="" ma:versionID="a6e97a1a4f558fb2d2813359c3107a55">
  <xsd:schema xmlns:xsd="http://www.w3.org/2001/XMLSchema" xmlns:xs="http://www.w3.org/2001/XMLSchema" xmlns:p="http://schemas.microsoft.com/office/2006/metadata/properties" xmlns:ns2="3ba32736-562b-4d50-a4f9-c89ebbc5a6a8" targetNamespace="http://schemas.microsoft.com/office/2006/metadata/properties" ma:root="true" ma:fieldsID="0ad847858e6c4d15f57ce379220a4543" ns2:_="">
    <xsd:import namespace="3ba32736-562b-4d50-a4f9-c89ebbc5a6a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32736-562b-4d50-a4f9-c89ebbc5a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8DB84A-A20E-436A-A3E7-2F76F1A2F0E9}">
  <ds:schemaRefs>
    <ds:schemaRef ds:uri="http://schemas.microsoft.com/sharepoint/v3/contenttype/forms"/>
  </ds:schemaRefs>
</ds:datastoreItem>
</file>

<file path=customXml/itemProps2.xml><?xml version="1.0" encoding="utf-8"?>
<ds:datastoreItem xmlns:ds="http://schemas.openxmlformats.org/officeDocument/2006/customXml" ds:itemID="{A5EF8CD8-AE86-48A9-836A-9ADAC044D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32736-562b-4d50-a4f9-c89ebbc5a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206D1B-8A74-46F3-B6E5-811BFA630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552</Words>
  <Characters>3148</Characters>
  <Application>Microsoft Office Word</Application>
  <DocSecurity>0</DocSecurity>
  <Lines>26</Lines>
  <Paragraphs>7</Paragraphs>
  <ScaleCrop>false</ScaleCrop>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Foster</dc:creator>
  <cp:keywords/>
  <dc:description/>
  <cp:lastModifiedBy>Allison Jordan</cp:lastModifiedBy>
  <cp:revision>2</cp:revision>
  <dcterms:created xsi:type="dcterms:W3CDTF">2024-03-18T18:19:00Z</dcterms:created>
  <dcterms:modified xsi:type="dcterms:W3CDTF">2024-03-18T18:19:00Z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0x01010027EC20D39E19AF438255778717AB351F</vt:lpwstr>
  </property>
  <property fmtid="{D5CDD505-2E9C-101B-9397-08002B2CF9AE}" pid="3" name="MediaServiceImageTags">
    <vt:lpwstr/>
  </property>
  <property fmtid="{D5CDD505-2E9C-101B-9397-08002B2CF9AE}" pid="4" name="Order">
    <vt:r8>10800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